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5AF" w:rsidRPr="004D25FC" w:rsidRDefault="004D25FC" w:rsidP="00897B92">
      <w:pPr>
        <w:jc w:val="center"/>
        <w:rPr>
          <w:rFonts w:ascii="Arial" w:hAnsi="Arial" w:cs="Arial"/>
          <w:i/>
          <w:sz w:val="24"/>
          <w:szCs w:val="24"/>
        </w:rPr>
      </w:pPr>
      <w:r w:rsidRPr="004D25FC">
        <w:rPr>
          <w:rFonts w:ascii="Arial" w:eastAsia="Calibri" w:hAnsi="Arial" w:cs="Arial"/>
          <w:i/>
          <w:sz w:val="24"/>
          <w:szCs w:val="24"/>
        </w:rPr>
        <w:t>Aspectos de Derecho privado en l</w:t>
      </w:r>
      <w:r w:rsidR="00897B92" w:rsidRPr="004D25FC">
        <w:rPr>
          <w:rFonts w:ascii="Arial" w:eastAsia="Calibri" w:hAnsi="Arial" w:cs="Arial"/>
          <w:i/>
          <w:sz w:val="24"/>
          <w:szCs w:val="24"/>
        </w:rPr>
        <w:t xml:space="preserve">os programas de </w:t>
      </w:r>
      <w:proofErr w:type="spellStart"/>
      <w:r w:rsidR="00897B92" w:rsidRPr="004D25FC">
        <w:rPr>
          <w:rFonts w:ascii="Arial" w:hAnsi="Arial" w:cs="Arial"/>
          <w:i/>
          <w:sz w:val="24"/>
          <w:szCs w:val="24"/>
        </w:rPr>
        <w:t>Residence</w:t>
      </w:r>
      <w:proofErr w:type="spellEnd"/>
      <w:r w:rsidR="00897B92" w:rsidRPr="004D25F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897B92" w:rsidRPr="004D25FC">
        <w:rPr>
          <w:rFonts w:ascii="Arial" w:hAnsi="Arial" w:cs="Arial"/>
          <w:i/>
          <w:sz w:val="24"/>
          <w:szCs w:val="24"/>
        </w:rPr>
        <w:t>by</w:t>
      </w:r>
      <w:proofErr w:type="spellEnd"/>
      <w:r w:rsidR="00897B92" w:rsidRPr="004D25F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897B92" w:rsidRPr="004D25FC">
        <w:rPr>
          <w:rFonts w:ascii="Arial" w:hAnsi="Arial" w:cs="Arial"/>
          <w:i/>
          <w:sz w:val="24"/>
          <w:szCs w:val="24"/>
        </w:rPr>
        <w:t>Invesment</w:t>
      </w:r>
      <w:proofErr w:type="spellEnd"/>
      <w:r w:rsidR="00897B92" w:rsidRPr="004D25FC">
        <w:rPr>
          <w:rFonts w:ascii="Arial" w:hAnsi="Arial" w:cs="Arial"/>
          <w:i/>
          <w:sz w:val="24"/>
          <w:szCs w:val="24"/>
        </w:rPr>
        <w:t xml:space="preserve"> (RBI) o </w:t>
      </w:r>
      <w:proofErr w:type="spellStart"/>
      <w:r w:rsidR="00897B92" w:rsidRPr="004D25FC">
        <w:rPr>
          <w:rFonts w:ascii="Arial" w:hAnsi="Arial" w:cs="Arial"/>
          <w:i/>
          <w:sz w:val="24"/>
          <w:szCs w:val="24"/>
        </w:rPr>
        <w:t>Citizenship</w:t>
      </w:r>
      <w:proofErr w:type="spellEnd"/>
      <w:r w:rsidR="00897B92" w:rsidRPr="004D25F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897B92" w:rsidRPr="004D25FC">
        <w:rPr>
          <w:rFonts w:ascii="Arial" w:hAnsi="Arial" w:cs="Arial"/>
          <w:i/>
          <w:sz w:val="24"/>
          <w:szCs w:val="24"/>
        </w:rPr>
        <w:t>by</w:t>
      </w:r>
      <w:proofErr w:type="spellEnd"/>
      <w:r w:rsidR="00897B92" w:rsidRPr="004D25FC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897B92" w:rsidRPr="004D25FC">
        <w:rPr>
          <w:rFonts w:ascii="Arial" w:hAnsi="Arial" w:cs="Arial"/>
          <w:i/>
          <w:sz w:val="24"/>
          <w:szCs w:val="24"/>
        </w:rPr>
        <w:t>Invesment</w:t>
      </w:r>
      <w:proofErr w:type="spellEnd"/>
      <w:r w:rsidR="00897B92" w:rsidRPr="004D25FC">
        <w:rPr>
          <w:rFonts w:ascii="Arial" w:hAnsi="Arial" w:cs="Arial"/>
          <w:i/>
          <w:sz w:val="24"/>
          <w:szCs w:val="24"/>
        </w:rPr>
        <w:t xml:space="preserve"> (CBI) en el contexto de la Unión Europea</w:t>
      </w:r>
      <w:r w:rsidRPr="004D25FC">
        <w:rPr>
          <w:rFonts w:ascii="Arial" w:hAnsi="Arial" w:cs="Arial"/>
          <w:i/>
          <w:sz w:val="24"/>
          <w:szCs w:val="24"/>
        </w:rPr>
        <w:t xml:space="preserve"> </w:t>
      </w:r>
    </w:p>
    <w:p w:rsidR="00897B92" w:rsidRPr="004D25FC" w:rsidRDefault="00897B92" w:rsidP="00897B9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4D25FC">
        <w:rPr>
          <w:rFonts w:ascii="Arial" w:hAnsi="Arial" w:cs="Arial"/>
          <w:sz w:val="24"/>
          <w:szCs w:val="24"/>
        </w:rPr>
        <w:t>Dra. Diana Marín Consarnau</w:t>
      </w:r>
    </w:p>
    <w:p w:rsidR="00897B92" w:rsidRPr="004D25FC" w:rsidRDefault="00897B92" w:rsidP="00897B9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4D25FC">
        <w:rPr>
          <w:rFonts w:ascii="Arial" w:hAnsi="Arial" w:cs="Arial"/>
          <w:sz w:val="24"/>
          <w:szCs w:val="24"/>
        </w:rPr>
        <w:t>Derecho internacional privado</w:t>
      </w:r>
    </w:p>
    <w:p w:rsidR="00897B92" w:rsidRPr="004D25FC" w:rsidRDefault="00897B92" w:rsidP="00897B92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4D25FC">
        <w:rPr>
          <w:rFonts w:ascii="Arial" w:hAnsi="Arial" w:cs="Arial"/>
          <w:sz w:val="24"/>
          <w:szCs w:val="24"/>
        </w:rPr>
        <w:t xml:space="preserve">Universidad Rovira i </w:t>
      </w:r>
      <w:proofErr w:type="spellStart"/>
      <w:r w:rsidRPr="004D25FC">
        <w:rPr>
          <w:rFonts w:ascii="Arial" w:hAnsi="Arial" w:cs="Arial"/>
          <w:sz w:val="24"/>
          <w:szCs w:val="24"/>
        </w:rPr>
        <w:t>Virgili</w:t>
      </w:r>
      <w:proofErr w:type="spellEnd"/>
    </w:p>
    <w:p w:rsidR="00897B92" w:rsidRPr="004D25FC" w:rsidRDefault="00897B92" w:rsidP="00897B92">
      <w:pPr>
        <w:jc w:val="both"/>
        <w:rPr>
          <w:rFonts w:ascii="Arial" w:hAnsi="Arial" w:cs="Arial"/>
          <w:sz w:val="24"/>
          <w:szCs w:val="24"/>
        </w:rPr>
      </w:pPr>
    </w:p>
    <w:p w:rsidR="00897B92" w:rsidRPr="004D25FC" w:rsidRDefault="00897B92" w:rsidP="00897B92">
      <w:pPr>
        <w:jc w:val="both"/>
        <w:rPr>
          <w:rFonts w:ascii="Arial" w:hAnsi="Arial" w:cs="Arial"/>
          <w:sz w:val="24"/>
          <w:szCs w:val="24"/>
        </w:rPr>
      </w:pPr>
      <w:r w:rsidRPr="004D25FC">
        <w:rPr>
          <w:rFonts w:ascii="Arial" w:hAnsi="Arial" w:cs="Arial"/>
          <w:sz w:val="24"/>
          <w:szCs w:val="24"/>
        </w:rPr>
        <w:t>En el contexto de la UE son varios los Estados miembros que ofrecen programas para la captación de inversión, ta</w:t>
      </w:r>
      <w:r w:rsidR="000869FB">
        <w:rPr>
          <w:rFonts w:ascii="Arial" w:hAnsi="Arial" w:cs="Arial"/>
          <w:sz w:val="24"/>
          <w:szCs w:val="24"/>
        </w:rPr>
        <w:t>lento o emprendimiento</w:t>
      </w:r>
      <w:r w:rsidR="004D25FC">
        <w:rPr>
          <w:rFonts w:ascii="Arial" w:hAnsi="Arial" w:cs="Arial"/>
          <w:sz w:val="24"/>
          <w:szCs w:val="24"/>
        </w:rPr>
        <w:t xml:space="preserve"> extranjeros</w:t>
      </w:r>
      <w:r w:rsidRPr="004D25FC">
        <w:rPr>
          <w:rFonts w:ascii="Arial" w:hAnsi="Arial" w:cs="Arial"/>
          <w:sz w:val="24"/>
          <w:szCs w:val="24"/>
        </w:rPr>
        <w:t xml:space="preserve">. Programas que, en la </w:t>
      </w:r>
      <w:r w:rsidR="004D25FC" w:rsidRPr="004D25FC">
        <w:rPr>
          <w:rFonts w:ascii="Arial" w:hAnsi="Arial" w:cs="Arial"/>
          <w:sz w:val="24"/>
          <w:szCs w:val="24"/>
        </w:rPr>
        <w:t>actualidad, están</w:t>
      </w:r>
      <w:r w:rsidRPr="004D25FC">
        <w:rPr>
          <w:rFonts w:ascii="Arial" w:hAnsi="Arial" w:cs="Arial"/>
          <w:sz w:val="24"/>
          <w:szCs w:val="24"/>
        </w:rPr>
        <w:t xml:space="preserve"> siendo cuestionados por las instituciones de la UE, especialmente por el Parlamento Europeo y por la Comisión Europea, </w:t>
      </w:r>
      <w:r w:rsidR="000869FB">
        <w:rPr>
          <w:rFonts w:ascii="Arial" w:hAnsi="Arial" w:cs="Arial"/>
          <w:sz w:val="24"/>
          <w:szCs w:val="24"/>
        </w:rPr>
        <w:t xml:space="preserve">teniendo en cuenta que esta última ya </w:t>
      </w:r>
      <w:r w:rsidRPr="004D25FC">
        <w:rPr>
          <w:rFonts w:ascii="Arial" w:hAnsi="Arial" w:cs="Arial"/>
          <w:sz w:val="24"/>
          <w:szCs w:val="24"/>
        </w:rPr>
        <w:t>ha iniciado procedimientos de infracción</w:t>
      </w:r>
      <w:r w:rsidR="004D25FC">
        <w:rPr>
          <w:rFonts w:ascii="Arial" w:hAnsi="Arial" w:cs="Arial"/>
          <w:sz w:val="24"/>
          <w:szCs w:val="24"/>
        </w:rPr>
        <w:t>, en concreto,</w:t>
      </w:r>
      <w:r w:rsidRPr="004D25FC">
        <w:rPr>
          <w:rFonts w:ascii="Arial" w:hAnsi="Arial" w:cs="Arial"/>
          <w:sz w:val="24"/>
          <w:szCs w:val="24"/>
        </w:rPr>
        <w:t xml:space="preserve"> contra los programas maltés y chipriota. </w:t>
      </w:r>
    </w:p>
    <w:p w:rsidR="00897B92" w:rsidRPr="004D25FC" w:rsidRDefault="00897B92" w:rsidP="00897B92">
      <w:pPr>
        <w:jc w:val="both"/>
        <w:rPr>
          <w:rFonts w:ascii="Arial" w:hAnsi="Arial" w:cs="Arial"/>
          <w:sz w:val="24"/>
          <w:szCs w:val="24"/>
          <w:lang w:val="es-ES_tradnl"/>
        </w:rPr>
      </w:pPr>
      <w:r w:rsidRPr="004D25FC">
        <w:rPr>
          <w:rFonts w:ascii="Arial" w:hAnsi="Arial" w:cs="Arial"/>
          <w:sz w:val="24"/>
          <w:szCs w:val="24"/>
        </w:rPr>
        <w:t xml:space="preserve">Estos tipos de programas RBI o CBI pretenden, entre otros, captación de inversión significativa de capital en el mercado inmobiliario. España, a partir de la </w:t>
      </w:r>
      <w:r w:rsidRPr="004D25FC">
        <w:rPr>
          <w:rFonts w:ascii="Arial" w:hAnsi="Arial" w:cs="Arial"/>
          <w:sz w:val="24"/>
          <w:szCs w:val="24"/>
          <w:lang w:val="es-ES_tradnl"/>
        </w:rPr>
        <w:t xml:space="preserve">Ley 14/2013, de 27 de septiembre, de apoyo a los emprendedores y su internacionalización, se introduce en este tipo de programas, </w:t>
      </w:r>
      <w:r w:rsidR="004D25FC">
        <w:rPr>
          <w:rFonts w:ascii="Arial" w:hAnsi="Arial" w:cs="Arial"/>
          <w:sz w:val="24"/>
          <w:szCs w:val="24"/>
          <w:lang w:val="es-ES_tradnl"/>
        </w:rPr>
        <w:t xml:space="preserve">y fija, </w:t>
      </w:r>
      <w:r w:rsidRPr="004D25FC">
        <w:rPr>
          <w:rFonts w:ascii="Arial" w:hAnsi="Arial" w:cs="Arial"/>
          <w:sz w:val="24"/>
          <w:szCs w:val="24"/>
          <w:lang w:val="es-ES_tradnl"/>
        </w:rPr>
        <w:t>por encima de la media europea que ronda los 250.000 euros, una inversión significativa de capital en inmuebles de 500.000 €, libre de cargas y gravámenes. Ley que fue prontamente reformada en 2015, a través de la Ley 25/2015, de 28 de julio, de mecanismo de segunda oportunidad, reducción de la carga financiera y otras medidas de orden so</w:t>
      </w:r>
      <w:r w:rsidR="000869FB">
        <w:rPr>
          <w:rFonts w:ascii="Arial" w:hAnsi="Arial" w:cs="Arial"/>
          <w:sz w:val="24"/>
          <w:szCs w:val="24"/>
          <w:lang w:val="es-ES_tradnl"/>
        </w:rPr>
        <w:t>cial, en aras</w:t>
      </w:r>
      <w:r w:rsidRPr="004D25FC">
        <w:rPr>
          <w:rFonts w:ascii="Arial" w:hAnsi="Arial" w:cs="Arial"/>
          <w:sz w:val="24"/>
          <w:szCs w:val="24"/>
          <w:lang w:val="es-ES_tradnl"/>
        </w:rPr>
        <w:t xml:space="preserve"> a mejorar los trámites y la obtención de beneficios de residencia a cambio de inversión inmobiliaria.</w:t>
      </w:r>
      <w:r w:rsidR="004D25FC" w:rsidRPr="004D25FC">
        <w:rPr>
          <w:rFonts w:ascii="Arial" w:hAnsi="Arial" w:cs="Arial"/>
          <w:sz w:val="24"/>
          <w:szCs w:val="24"/>
          <w:lang w:val="es-ES_tradnl"/>
        </w:rPr>
        <w:t xml:space="preserve"> No obstante, más allá de las cuestiones relacionadas </w:t>
      </w:r>
      <w:proofErr w:type="spellStart"/>
      <w:r w:rsidR="004D25FC" w:rsidRPr="004D25FC">
        <w:rPr>
          <w:rFonts w:ascii="Arial" w:hAnsi="Arial" w:cs="Arial"/>
          <w:i/>
          <w:sz w:val="24"/>
          <w:szCs w:val="24"/>
          <w:lang w:val="es-ES_tradnl"/>
        </w:rPr>
        <w:t>strictu</w:t>
      </w:r>
      <w:proofErr w:type="spellEnd"/>
      <w:r w:rsidR="004D25FC" w:rsidRPr="004D25FC">
        <w:rPr>
          <w:rFonts w:ascii="Arial" w:hAnsi="Arial" w:cs="Arial"/>
          <w:i/>
          <w:sz w:val="24"/>
          <w:szCs w:val="24"/>
          <w:lang w:val="es-ES_tradnl"/>
        </w:rPr>
        <w:t xml:space="preserve"> sensu</w:t>
      </w:r>
      <w:r w:rsidR="004D25FC">
        <w:rPr>
          <w:rFonts w:ascii="Arial" w:hAnsi="Arial" w:cs="Arial"/>
          <w:sz w:val="24"/>
          <w:szCs w:val="24"/>
          <w:lang w:val="es-ES_tradnl"/>
        </w:rPr>
        <w:t xml:space="preserve"> </w:t>
      </w:r>
      <w:r w:rsidR="004D25FC" w:rsidRPr="004D25FC">
        <w:rPr>
          <w:rFonts w:ascii="Arial" w:hAnsi="Arial" w:cs="Arial"/>
          <w:sz w:val="24"/>
          <w:szCs w:val="24"/>
          <w:lang w:val="es-ES_tradnl"/>
        </w:rPr>
        <w:t>con el Derecho de extranjería, tras más de siete años de la implementación de esta ley, aparecen dos cuestiones estrechamente</w:t>
      </w:r>
      <w:r w:rsidR="004D25FC">
        <w:rPr>
          <w:rFonts w:ascii="Arial" w:hAnsi="Arial" w:cs="Arial"/>
          <w:sz w:val="24"/>
          <w:szCs w:val="24"/>
          <w:lang w:val="es-ES_tradnl"/>
        </w:rPr>
        <w:t xml:space="preserve"> vinculadas </w:t>
      </w:r>
      <w:r w:rsidR="004D25FC" w:rsidRPr="004D25FC">
        <w:rPr>
          <w:rFonts w:ascii="Arial" w:hAnsi="Arial" w:cs="Arial"/>
          <w:sz w:val="24"/>
          <w:szCs w:val="24"/>
          <w:lang w:val="es-ES_tradnl"/>
        </w:rPr>
        <w:t xml:space="preserve">con el derecho privado y que resultan determinantes para ostentar la condición de inversor/a. Por un lado, la determinación del régimen económico matrimonial. Y, por otro lado, el concepto de “adquisición” de inmuebles. </w:t>
      </w:r>
    </w:p>
    <w:p w:rsidR="004D25FC" w:rsidRPr="004D25FC" w:rsidRDefault="004D25FC" w:rsidP="00897B92">
      <w:pPr>
        <w:jc w:val="both"/>
        <w:rPr>
          <w:rFonts w:ascii="Arial" w:hAnsi="Arial" w:cs="Arial"/>
          <w:sz w:val="24"/>
          <w:szCs w:val="24"/>
          <w:lang w:val="es-ES_tradnl"/>
        </w:rPr>
      </w:pPr>
      <w:r w:rsidRPr="004D25FC">
        <w:rPr>
          <w:rFonts w:ascii="Arial" w:hAnsi="Arial" w:cs="Arial"/>
          <w:sz w:val="24"/>
          <w:szCs w:val="24"/>
          <w:lang w:val="es-ES_tradnl"/>
        </w:rPr>
        <w:t>El objeto del presente trabajo se centra en ofrecer una perspectiva comparada de cómo estas cuestiones relacionadas con el derecho privado son contempladas en otros programas de CBI y de RBI tomando en consideración el Informe de la Comisión Europea sobre regímenes de ciudadanía y residencia para inversores en la Unión Europe</w:t>
      </w:r>
      <w:bookmarkStart w:id="0" w:name="_GoBack"/>
      <w:bookmarkEnd w:id="0"/>
      <w:r w:rsidRPr="004D25FC">
        <w:rPr>
          <w:rFonts w:ascii="Arial" w:hAnsi="Arial" w:cs="Arial"/>
          <w:sz w:val="24"/>
          <w:szCs w:val="24"/>
          <w:lang w:val="es-ES_tradnl"/>
        </w:rPr>
        <w:t>a y los estudios de r</w:t>
      </w:r>
      <w:r w:rsidR="007214DC">
        <w:rPr>
          <w:rFonts w:ascii="Arial" w:hAnsi="Arial" w:cs="Arial"/>
          <w:sz w:val="24"/>
          <w:szCs w:val="24"/>
          <w:lang w:val="es-ES_tradnl"/>
        </w:rPr>
        <w:t>eferencia a los que este alude, en el que el juego del principio de solidaridad entre Estados miembros, así como la sostenibilidad como factor a tener en cuenta frente a la presión inmobiliaria aparecen en escena.</w:t>
      </w:r>
    </w:p>
    <w:p w:rsidR="00897B92" w:rsidRPr="004D25FC" w:rsidRDefault="00897B92" w:rsidP="00897B92">
      <w:pPr>
        <w:jc w:val="both"/>
        <w:rPr>
          <w:rFonts w:ascii="Arial" w:hAnsi="Arial" w:cs="Arial"/>
          <w:sz w:val="24"/>
          <w:szCs w:val="24"/>
        </w:rPr>
      </w:pPr>
    </w:p>
    <w:sectPr w:rsidR="00897B92" w:rsidRPr="004D25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B92"/>
    <w:rsid w:val="00027710"/>
    <w:rsid w:val="000869FB"/>
    <w:rsid w:val="004D25FC"/>
    <w:rsid w:val="007214DC"/>
    <w:rsid w:val="00897B92"/>
    <w:rsid w:val="00B8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05FB0"/>
  <w15:chartTrackingRefBased/>
  <w15:docId w15:val="{96D79509-10C2-49D8-A6E2-2512628EC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371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Boris Marin Consarnau</dc:creator>
  <cp:keywords/>
  <dc:description/>
  <cp:lastModifiedBy>Diana Boris Marin Consarnau</cp:lastModifiedBy>
  <cp:revision>3</cp:revision>
  <dcterms:created xsi:type="dcterms:W3CDTF">2021-03-12T16:04:00Z</dcterms:created>
  <dcterms:modified xsi:type="dcterms:W3CDTF">2021-03-14T16:20:00Z</dcterms:modified>
</cp:coreProperties>
</file>