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4D3A71" w14:textId="77777777" w:rsidR="0053622D" w:rsidRDefault="0053622D" w:rsidP="0053622D">
      <w:pPr>
        <w:spacing w:after="0" w:line="240" w:lineRule="auto"/>
        <w:jc w:val="center"/>
        <w:rPr>
          <w:rFonts w:ascii="Goudy Old Style" w:eastAsia="Times New Roman" w:hAnsi="Goudy Old Style" w:cs="Times New Roman"/>
          <w:b/>
          <w:sz w:val="24"/>
          <w:szCs w:val="24"/>
          <w:lang w:eastAsia="es-ES"/>
        </w:rPr>
      </w:pPr>
      <w:r w:rsidRPr="002126F5">
        <w:rPr>
          <w:rFonts w:ascii="Goudy Old Style" w:eastAsia="Times New Roman" w:hAnsi="Goudy Old Style" w:cs="Times New Roman"/>
          <w:b/>
          <w:sz w:val="24"/>
          <w:szCs w:val="24"/>
          <w:lang w:eastAsia="es-ES"/>
        </w:rPr>
        <w:t>MENORES ARAGONESES Y DOBLE NACIONALIDAD: CUESTIONES PROBLEMÁTICAS EN</w:t>
      </w:r>
      <w:r w:rsidR="001A2144">
        <w:rPr>
          <w:rFonts w:ascii="Goudy Old Style" w:eastAsia="Times New Roman" w:hAnsi="Goudy Old Style" w:cs="Times New Roman"/>
          <w:b/>
          <w:sz w:val="24"/>
          <w:szCs w:val="24"/>
          <w:lang w:eastAsia="es-ES"/>
        </w:rPr>
        <w:t xml:space="preserve"> TORNO A SU CAPACIDAD</w:t>
      </w:r>
      <w:r w:rsidRPr="002126F5">
        <w:rPr>
          <w:rFonts w:ascii="Goudy Old Style" w:eastAsia="Times New Roman" w:hAnsi="Goudy Old Style" w:cs="Times New Roman"/>
          <w:b/>
          <w:sz w:val="24"/>
          <w:szCs w:val="24"/>
          <w:lang w:eastAsia="es-ES"/>
        </w:rPr>
        <w:t xml:space="preserve"> </w:t>
      </w:r>
      <w:r w:rsidR="000274F5">
        <w:rPr>
          <w:rFonts w:ascii="Goudy Old Style" w:eastAsia="Times New Roman" w:hAnsi="Goudy Old Style" w:cs="Times New Roman"/>
          <w:b/>
          <w:sz w:val="24"/>
          <w:szCs w:val="24"/>
          <w:lang w:eastAsia="es-ES"/>
        </w:rPr>
        <w:t xml:space="preserve">EN </w:t>
      </w:r>
      <w:r w:rsidRPr="002126F5">
        <w:rPr>
          <w:rFonts w:ascii="Goudy Old Style" w:eastAsia="Times New Roman" w:hAnsi="Goudy Old Style" w:cs="Times New Roman"/>
          <w:b/>
          <w:sz w:val="24"/>
          <w:szCs w:val="24"/>
          <w:lang w:eastAsia="es-ES"/>
        </w:rPr>
        <w:t>EL DERECHO INTERNACIONAL PRIVADO</w:t>
      </w:r>
    </w:p>
    <w:p w14:paraId="15C7C709" w14:textId="77777777" w:rsidR="002F7EFE" w:rsidRPr="002F7EFE" w:rsidRDefault="002F7EFE" w:rsidP="0053622D">
      <w:pPr>
        <w:spacing w:after="0" w:line="240" w:lineRule="auto"/>
        <w:jc w:val="center"/>
        <w:rPr>
          <w:rFonts w:ascii="Goudy Old Style" w:eastAsia="Times New Roman" w:hAnsi="Goudy Old Style" w:cs="Times New Roman"/>
          <w:b/>
          <w:sz w:val="16"/>
          <w:szCs w:val="24"/>
          <w:lang w:eastAsia="es-ES"/>
        </w:rPr>
      </w:pPr>
    </w:p>
    <w:p w14:paraId="2C2B70C6" w14:textId="77777777" w:rsidR="00AE33B6" w:rsidRPr="000E64D7" w:rsidRDefault="00AE33B6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b/>
          <w:lang w:eastAsia="es-ES"/>
        </w:rPr>
      </w:pPr>
      <w:r w:rsidRPr="000E64D7">
        <w:rPr>
          <w:rFonts w:ascii="Goudy Old Style" w:eastAsia="Times New Roman" w:hAnsi="Goudy Old Style" w:cs="Times New Roman"/>
          <w:b/>
          <w:lang w:eastAsia="es-ES"/>
        </w:rPr>
        <w:t>María Jesús Sánchez Cano</w:t>
      </w:r>
    </w:p>
    <w:p w14:paraId="199220DE" w14:textId="77777777" w:rsidR="0037697F" w:rsidRPr="000E64D7" w:rsidRDefault="0037697F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i/>
          <w:lang w:eastAsia="es-ES"/>
        </w:rPr>
      </w:pPr>
      <w:r w:rsidRPr="000E64D7">
        <w:rPr>
          <w:rFonts w:ascii="Goudy Old Style" w:eastAsia="Times New Roman" w:hAnsi="Goudy Old Style" w:cs="Times New Roman"/>
          <w:i/>
          <w:lang w:eastAsia="es-ES"/>
        </w:rPr>
        <w:t>Profesora de Derecho Internacional privado</w:t>
      </w:r>
    </w:p>
    <w:p w14:paraId="16039C53" w14:textId="77777777" w:rsidR="0037697F" w:rsidRPr="000E64D7" w:rsidRDefault="0037697F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i/>
          <w:lang w:eastAsia="es-ES"/>
        </w:rPr>
      </w:pPr>
      <w:r w:rsidRPr="000E64D7">
        <w:rPr>
          <w:rFonts w:ascii="Goudy Old Style" w:eastAsia="Times New Roman" w:hAnsi="Goudy Old Style" w:cs="Times New Roman"/>
          <w:i/>
          <w:lang w:eastAsia="es-ES"/>
        </w:rPr>
        <w:t>Universidad San Jorge</w:t>
      </w:r>
    </w:p>
    <w:p w14:paraId="2390CE0F" w14:textId="77777777" w:rsidR="002126F5" w:rsidRPr="000E64D7" w:rsidRDefault="00386116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i/>
          <w:lang w:eastAsia="es-ES"/>
        </w:rPr>
      </w:pPr>
      <w:r w:rsidRPr="000E64D7">
        <w:rPr>
          <w:rFonts w:ascii="Goudy Old Style" w:eastAsia="Times New Roman" w:hAnsi="Goudy Old Style" w:cs="Times New Roman"/>
          <w:i/>
          <w:lang w:eastAsia="es-ES"/>
        </w:rPr>
        <w:t xml:space="preserve">   </w:t>
      </w:r>
      <w:hyperlink r:id="rId5" w:history="1">
        <w:r w:rsidR="002126F5" w:rsidRPr="000E64D7">
          <w:rPr>
            <w:rStyle w:val="Hipervnculo"/>
            <w:rFonts w:ascii="Goudy Old Style" w:eastAsia="Times New Roman" w:hAnsi="Goudy Old Style" w:cs="Times New Roman"/>
            <w:i/>
            <w:lang w:eastAsia="es-ES"/>
          </w:rPr>
          <w:t>mjsanchez@usj.es</w:t>
        </w:r>
      </w:hyperlink>
      <w:r w:rsidR="002126F5" w:rsidRPr="000E64D7">
        <w:rPr>
          <w:rFonts w:ascii="Goudy Old Style" w:eastAsia="Times New Roman" w:hAnsi="Goudy Old Style" w:cs="Times New Roman"/>
          <w:i/>
          <w:lang w:eastAsia="es-ES"/>
        </w:rPr>
        <w:t xml:space="preserve"> </w:t>
      </w:r>
    </w:p>
    <w:p w14:paraId="053DC7E1" w14:textId="77777777" w:rsidR="00E96B20" w:rsidRPr="002F7EFE" w:rsidRDefault="00E96B20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i/>
          <w:sz w:val="18"/>
          <w:lang w:eastAsia="es-ES"/>
        </w:rPr>
      </w:pPr>
    </w:p>
    <w:p w14:paraId="2E29BF95" w14:textId="77777777" w:rsidR="00AE33B6" w:rsidRPr="000E64D7" w:rsidRDefault="00AE33B6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b/>
          <w:lang w:eastAsia="es-ES"/>
        </w:rPr>
      </w:pPr>
      <w:r w:rsidRPr="000E64D7">
        <w:rPr>
          <w:rFonts w:ascii="Goudy Old Style" w:eastAsia="Times New Roman" w:hAnsi="Goudy Old Style" w:cs="Times New Roman"/>
          <w:b/>
          <w:lang w:eastAsia="es-ES"/>
        </w:rPr>
        <w:t>Romina Santillán Santa Cruz</w:t>
      </w:r>
    </w:p>
    <w:p w14:paraId="12A77D7D" w14:textId="77777777" w:rsidR="0037697F" w:rsidRPr="000E64D7" w:rsidRDefault="0037697F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i/>
          <w:lang w:eastAsia="es-ES"/>
        </w:rPr>
      </w:pPr>
      <w:r w:rsidRPr="000E64D7">
        <w:rPr>
          <w:rFonts w:ascii="Goudy Old Style" w:eastAsia="Times New Roman" w:hAnsi="Goudy Old Style" w:cs="Times New Roman"/>
          <w:i/>
          <w:lang w:eastAsia="es-ES"/>
        </w:rPr>
        <w:t>Profesora de Derecho civil</w:t>
      </w:r>
    </w:p>
    <w:p w14:paraId="3E85ED64" w14:textId="77777777" w:rsidR="0037697F" w:rsidRPr="000E64D7" w:rsidRDefault="0037697F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i/>
          <w:lang w:eastAsia="es-ES"/>
        </w:rPr>
      </w:pPr>
      <w:r w:rsidRPr="000E64D7">
        <w:rPr>
          <w:rFonts w:ascii="Goudy Old Style" w:eastAsia="Times New Roman" w:hAnsi="Goudy Old Style" w:cs="Times New Roman"/>
          <w:i/>
          <w:lang w:eastAsia="es-ES"/>
        </w:rPr>
        <w:t>Universidad Isabel I de Castilla</w:t>
      </w:r>
    </w:p>
    <w:p w14:paraId="32F0EC05" w14:textId="77777777" w:rsidR="00E96B20" w:rsidRPr="000E64D7" w:rsidRDefault="0017649D" w:rsidP="0037697F">
      <w:pPr>
        <w:spacing w:after="0" w:line="240" w:lineRule="auto"/>
        <w:jc w:val="right"/>
        <w:rPr>
          <w:rFonts w:ascii="Goudy Old Style" w:eastAsia="Times New Roman" w:hAnsi="Goudy Old Style" w:cs="Times New Roman"/>
          <w:i/>
          <w:lang w:eastAsia="es-ES"/>
        </w:rPr>
      </w:pPr>
      <w:hyperlink r:id="rId6" w:history="1">
        <w:r w:rsidR="00E96B20" w:rsidRPr="000E64D7">
          <w:rPr>
            <w:rStyle w:val="Hipervnculo"/>
            <w:rFonts w:ascii="Goudy Old Style" w:eastAsia="Times New Roman" w:hAnsi="Goudy Old Style" w:cs="Times New Roman"/>
            <w:i/>
            <w:lang w:eastAsia="es-ES"/>
          </w:rPr>
          <w:t>rominaviviana.santillan@ui1.es</w:t>
        </w:r>
      </w:hyperlink>
      <w:r w:rsidR="00E96B20" w:rsidRPr="000E64D7">
        <w:rPr>
          <w:rFonts w:ascii="Goudy Old Style" w:eastAsia="Times New Roman" w:hAnsi="Goudy Old Style" w:cs="Times New Roman"/>
          <w:i/>
          <w:lang w:eastAsia="es-ES"/>
        </w:rPr>
        <w:t xml:space="preserve"> </w:t>
      </w:r>
    </w:p>
    <w:p w14:paraId="5F9B5BB9" w14:textId="77777777" w:rsidR="00ED6F7C" w:rsidRPr="002126F5" w:rsidRDefault="00ED6F7C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b/>
          <w:sz w:val="24"/>
          <w:szCs w:val="24"/>
          <w:u w:val="single"/>
          <w:lang w:eastAsia="es-ES"/>
        </w:rPr>
      </w:pPr>
    </w:p>
    <w:p w14:paraId="661AB53A" w14:textId="77777777" w:rsidR="00BD6707" w:rsidRPr="002126F5" w:rsidRDefault="00ED6F7C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sz w:val="24"/>
          <w:szCs w:val="24"/>
          <w:lang w:eastAsia="es-ES"/>
        </w:rPr>
      </w:pP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El estudio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de 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la capacidad de los 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menores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en el Derecho Internacional privado español permite advertir un 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problema de </w:t>
      </w:r>
      <w:r w:rsidR="00322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hondo calado cuando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5D577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se suma </w:t>
      </w:r>
      <w:r w:rsidR="0083480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a</w:t>
      </w:r>
      <w:r w:rsidR="005D577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él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el componente de la doble nacionalidad, algo que se agrava drásticamente si </w:t>
      </w:r>
      <w:r w:rsidR="005D577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también se inserta en esa ecuación 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la denominada “vecindad civil aragonesa”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. L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a ausencia de instrumentos</w:t>
      </w:r>
      <w:r w:rsidR="005D577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internacionales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322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específicos 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que regulen la cuestión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arriba indicada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no</w:t>
      </w:r>
      <w:r w:rsidR="00F42889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s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3C0349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lleva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a recurrir</w:t>
      </w:r>
      <w:r w:rsidR="002A654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, irremediablemente,</w:t>
      </w:r>
      <w:r w:rsidR="00CC18CB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a nuestra</w:t>
      </w:r>
      <w:r w:rsidR="00725A47">
        <w:rPr>
          <w:rFonts w:ascii="Goudy Old Style" w:eastAsia="Times New Roman" w:hAnsi="Goudy Old Style" w:cs="Times New Roman"/>
          <w:sz w:val="24"/>
          <w:szCs w:val="24"/>
          <w:lang w:eastAsia="es-ES"/>
        </w:rPr>
        <w:t>s</w:t>
      </w:r>
      <w:r w:rsidR="00443CD9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5D577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norm</w:t>
      </w:r>
      <w:r w:rsidR="00725A47">
        <w:rPr>
          <w:rFonts w:ascii="Goudy Old Style" w:eastAsia="Times New Roman" w:hAnsi="Goudy Old Style" w:cs="Times New Roman"/>
          <w:sz w:val="24"/>
          <w:szCs w:val="24"/>
          <w:lang w:eastAsia="es-ES"/>
        </w:rPr>
        <w:t>as</w:t>
      </w:r>
      <w:r w:rsidR="00443CD9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de conflicto </w:t>
      </w:r>
      <w:r w:rsidR="005D577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de producción interna</w:t>
      </w:r>
      <w:r w:rsidR="00725A47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, previstas en el </w:t>
      </w:r>
      <w:r w:rsidR="005D577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Código Civil</w:t>
      </w:r>
      <w:r w:rsidR="006E63D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.</w:t>
      </w:r>
      <w:r w:rsidR="00BD6707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</w:p>
    <w:p w14:paraId="29A756ED" w14:textId="77777777" w:rsidR="00BD6707" w:rsidRPr="002F7EFE" w:rsidRDefault="00BD6707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szCs w:val="24"/>
          <w:lang w:eastAsia="es-ES"/>
        </w:rPr>
      </w:pPr>
    </w:p>
    <w:p w14:paraId="13BE884F" w14:textId="77777777" w:rsidR="00CF5E2C" w:rsidRPr="002126F5" w:rsidRDefault="002E3518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sz w:val="24"/>
          <w:szCs w:val="24"/>
          <w:lang w:eastAsia="es-ES"/>
        </w:rPr>
      </w:pP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El objeto de estudio que motiva el presente trabajo estaría dentro de</w:t>
      </w:r>
      <w:r w:rsidR="00CC18CB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l</w:t>
      </w:r>
      <w:r w:rsidR="00CC18CB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o que se conoce como 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estatuto personal. </w:t>
      </w:r>
      <w:r w:rsidR="00CC18CB">
        <w:rPr>
          <w:rFonts w:ascii="Goudy Old Style" w:eastAsia="Times New Roman" w:hAnsi="Goudy Old Style" w:cs="Times New Roman"/>
          <w:sz w:val="24"/>
          <w:szCs w:val="24"/>
          <w:lang w:eastAsia="es-ES"/>
        </w:rPr>
        <w:t>La l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ey aplicable a las personas físicas</w:t>
      </w:r>
      <w:r w:rsidR="00B0389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se establece a través del art.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B0389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9.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1 </w:t>
      </w:r>
      <w:proofErr w:type="spellStart"/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Cc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.</w:t>
      </w:r>
      <w:proofErr w:type="spellEnd"/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, el cual remite</w:t>
      </w:r>
      <w:r w:rsidR="00322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el asunto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a la ley nacional del sujeto. E</w:t>
      </w:r>
      <w:r w:rsidR="00B0389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l citado precepto s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e aplica as</w:t>
      </w:r>
      <w:r w:rsidR="00FA154B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í 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mismo a</w:t>
      </w:r>
      <w:r w:rsidR="00B0389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los supuestos de Derech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o Interregional, si bien se debe sustituir el punto de conexión de la nacionalidad por el de la vecindad civil (art.</w:t>
      </w:r>
      <w:r w:rsidR="00322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16 </w:t>
      </w:r>
      <w:proofErr w:type="spellStart"/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Cc</w:t>
      </w:r>
      <w:proofErr w:type="spellEnd"/>
      <w:r w:rsidR="00991656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). </w:t>
      </w:r>
      <w:r w:rsidR="00B803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El ámbito operativo de la ley designada en virtud del art.</w:t>
      </w:r>
      <w:r w:rsidR="00322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B803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9.1 </w:t>
      </w:r>
      <w:proofErr w:type="spellStart"/>
      <w:r w:rsidR="00B803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Cc</w:t>
      </w:r>
      <w:r w:rsidR="00452A64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.</w:t>
      </w:r>
      <w:proofErr w:type="spellEnd"/>
      <w:r w:rsidR="00B803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cubre, entre otras, cue</w:t>
      </w:r>
      <w:r w:rsidR="00322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stiones tales como la </w:t>
      </w:r>
      <w:r w:rsidR="00B803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capacidad </w:t>
      </w:r>
      <w:r w:rsidR="00322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de goce y </w:t>
      </w:r>
      <w:r w:rsidR="00B803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de obrar del sujeto.</w:t>
      </w:r>
    </w:p>
    <w:p w14:paraId="0F7FF9BF" w14:textId="77777777" w:rsidR="0037697F" w:rsidRPr="002F7EFE" w:rsidRDefault="0037697F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szCs w:val="24"/>
          <w:lang w:eastAsia="es-ES"/>
        </w:rPr>
      </w:pPr>
    </w:p>
    <w:p w14:paraId="3B9CCCF5" w14:textId="77777777" w:rsidR="00B80348" w:rsidRPr="002126F5" w:rsidRDefault="00B80348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sz w:val="24"/>
          <w:szCs w:val="24"/>
          <w:lang w:eastAsia="es-ES"/>
        </w:rPr>
      </w:pP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No obstante, en </w:t>
      </w:r>
      <w:r w:rsidR="000277E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el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seno del</w:t>
      </w:r>
      <w:r w:rsidR="000277E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proofErr w:type="spellStart"/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DI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Pr</w:t>
      </w:r>
      <w:proofErr w:type="spellEnd"/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español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, se 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van a 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suscita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>r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ciertas 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dudas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al </w:t>
      </w:r>
      <w:r w:rsidR="000277E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aplicar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la ley personal respecto a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los supuestos de 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doble nacionalidad o 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nacio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nalidad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múltiple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, 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>puesto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que </w:t>
      </w:r>
      <w:r w:rsidR="000277E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debe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rá dilucidarse, antes que todo, </w:t>
      </w:r>
      <w:r w:rsidR="000277E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cuá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l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es la nacionalidad prevalente</w:t>
      </w:r>
      <w:r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a los efectos del </w:t>
      </w:r>
      <w:proofErr w:type="spellStart"/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DIPr</w:t>
      </w:r>
      <w:proofErr w:type="spellEnd"/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. La solución del problema se enc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>on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tra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>ría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>, en términos generales,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en el art.</w:t>
      </w:r>
      <w:r w:rsidR="000277E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9.9 </w:t>
      </w:r>
      <w:proofErr w:type="spellStart"/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Cc</w:t>
      </w:r>
      <w:r w:rsidR="00452A64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.</w:t>
      </w:r>
      <w:proofErr w:type="spellEnd"/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,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el cual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>solo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0277E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es de aplicación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0277E3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respecto de</w:t>
      </w:r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normas españolas de </w:t>
      </w:r>
      <w:proofErr w:type="spellStart"/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DIPr</w:t>
      </w:r>
      <w:proofErr w:type="spellEnd"/>
      <w:r w:rsidR="0077226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de producción</w:t>
      </w:r>
      <w:r w:rsidR="000C0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interna.</w:t>
      </w:r>
    </w:p>
    <w:p w14:paraId="096FB22B" w14:textId="77777777" w:rsidR="0037697F" w:rsidRPr="002F7EFE" w:rsidRDefault="0037697F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szCs w:val="24"/>
          <w:lang w:eastAsia="es-ES"/>
        </w:rPr>
      </w:pPr>
    </w:p>
    <w:p w14:paraId="1D12C2F6" w14:textId="77777777" w:rsidR="00BB3B9A" w:rsidRPr="002126F5" w:rsidRDefault="00871742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sz w:val="24"/>
          <w:szCs w:val="24"/>
          <w:lang w:eastAsia="es-ES"/>
        </w:rPr>
      </w:pP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A mayor detalle, véase que el</w:t>
      </w:r>
      <w:r w:rsidR="00BD6707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escenario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descrito </w:t>
      </w:r>
      <w:r w:rsidR="00BD6707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es complejo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porque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la </w:t>
      </w:r>
      <w:r w:rsidR="0019446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norma 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>de conflicto nos deriv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>a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a la ley nacional del sujeto, 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y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2E3518">
        <w:rPr>
          <w:rFonts w:ascii="Goudy Old Style" w:eastAsia="Times New Roman" w:hAnsi="Goudy Old Style" w:cs="Times New Roman"/>
          <w:sz w:val="24"/>
          <w:szCs w:val="24"/>
          <w:lang w:eastAsia="es-ES"/>
        </w:rPr>
        <w:t>en los casos de doble nacionalidad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, 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nos obliga, a su vez, a 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dilucidar 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la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nacionalidad 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que debe 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>prevalece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r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725A47">
        <w:rPr>
          <w:rFonts w:ascii="Goudy Old Style" w:eastAsia="Times New Roman" w:hAnsi="Goudy Old Style" w:cs="Times New Roman"/>
          <w:sz w:val="24"/>
          <w:szCs w:val="24"/>
          <w:lang w:eastAsia="es-ES"/>
        </w:rPr>
        <w:t>a los efectos del Dipr</w:t>
      </w:r>
      <w:bookmarkStart w:id="0" w:name="_GoBack"/>
      <w:bookmarkEnd w:id="0"/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. Y c</w:t>
      </w:r>
      <w:r w:rsidR="00F8211A">
        <w:rPr>
          <w:rFonts w:ascii="Goudy Old Style" w:eastAsia="Times New Roman" w:hAnsi="Goudy Old Style" w:cs="Times New Roman"/>
          <w:sz w:val="24"/>
          <w:szCs w:val="24"/>
          <w:lang w:eastAsia="es-ES"/>
        </w:rPr>
        <w:t>uando se trate de menores de edad con doble nacionalidad</w:t>
      </w:r>
      <w:r w:rsidR="00F81A2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, 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lo será </w:t>
      </w:r>
      <w:r w:rsidR="00F81A2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m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ás aún</w:t>
      </w:r>
      <w:r w:rsidR="000C0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si una de las nacionalidades es la española y </w:t>
      </w: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se </w:t>
      </w:r>
      <w:r w:rsidR="000C0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ha optado </w:t>
      </w:r>
      <w:r w:rsidR="00F81A2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por la vecindad civil aragonesa. Ello,</w:t>
      </w:r>
      <w:r w:rsidR="000C0F2D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dado que </w:t>
      </w:r>
      <w:r w:rsidR="00BB3B9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los art</w:t>
      </w:r>
      <w:r w:rsidR="00BD6707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s</w:t>
      </w:r>
      <w:r w:rsidR="00BB3B9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.</w:t>
      </w:r>
      <w:r w:rsidR="00BD6707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BB3B9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9.1, 9.9 y 16 </w:t>
      </w:r>
      <w:proofErr w:type="spellStart"/>
      <w:r w:rsidR="00BB3B9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Cc.</w:t>
      </w:r>
      <w:proofErr w:type="spellEnd"/>
      <w:r w:rsidR="00F81A2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conducirían a la aplicación</w:t>
      </w:r>
      <w:r w:rsidR="00452A64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de la ley de la CA Aragón</w:t>
      </w:r>
      <w:r w:rsidR="00F81A2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, es decir, el CDFA, cuyos art</w:t>
      </w:r>
      <w:r w:rsidR="00BD6707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s</w:t>
      </w:r>
      <w:r w:rsidR="00F81A2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.</w:t>
      </w:r>
      <w:r w:rsidR="00BD6707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</w:t>
      </w:r>
      <w:r w:rsidR="00F81A2A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23 y ss. disponen reglas específicas referentes a la capacidad del menor de edad aragonés mayor de catorce años.</w:t>
      </w:r>
    </w:p>
    <w:p w14:paraId="73CE18B4" w14:textId="77777777" w:rsidR="0037697F" w:rsidRPr="002F7EFE" w:rsidRDefault="0037697F" w:rsidP="0037697F">
      <w:pPr>
        <w:spacing w:after="0" w:line="240" w:lineRule="auto"/>
        <w:jc w:val="both"/>
        <w:rPr>
          <w:rFonts w:ascii="Goudy Old Style" w:eastAsia="Times New Roman" w:hAnsi="Goudy Old Style" w:cs="Times New Roman"/>
          <w:szCs w:val="24"/>
          <w:lang w:eastAsia="es-ES"/>
        </w:rPr>
      </w:pPr>
    </w:p>
    <w:p w14:paraId="44969A37" w14:textId="77777777" w:rsidR="00910EA1" w:rsidRPr="002126F5" w:rsidRDefault="00871742" w:rsidP="0037697F">
      <w:pPr>
        <w:spacing w:after="0" w:line="240" w:lineRule="auto"/>
        <w:jc w:val="both"/>
        <w:rPr>
          <w:rFonts w:ascii="Goudy Old Style" w:hAnsi="Goudy Old Style"/>
          <w:sz w:val="24"/>
          <w:szCs w:val="24"/>
        </w:rPr>
      </w:pPr>
      <w:r>
        <w:rPr>
          <w:rFonts w:ascii="Goudy Old Style" w:eastAsia="Times New Roman" w:hAnsi="Goudy Old Style" w:cs="Times New Roman"/>
          <w:sz w:val="24"/>
          <w:szCs w:val="24"/>
          <w:lang w:eastAsia="es-ES"/>
        </w:rPr>
        <w:t>Por las razones expuestas, l</w:t>
      </w:r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a</w:t>
      </w:r>
      <w:r w:rsidR="002B31A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presente comunicación abordará</w:t>
      </w:r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los conflictos que pudieran originar estas especiales hipótesis en orden a determinar la capacidad de obrar del menor. Esto requiere el estudio de la cuestión desde una perspectiva </w:t>
      </w:r>
      <w:proofErr w:type="spellStart"/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internacional</w:t>
      </w:r>
      <w:r w:rsidR="002B31A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privatista</w:t>
      </w:r>
      <w:proofErr w:type="spellEnd"/>
      <w:r w:rsidR="002B31A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, pero, al propio tiempo,</w:t>
      </w:r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también desde el Derecho Interregional, habida cuenta </w:t>
      </w:r>
      <w:r w:rsidR="002B31AF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de </w:t>
      </w:r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la presencia </w:t>
      </w:r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lastRenderedPageBreak/>
        <w:t xml:space="preserve">en estas situaciones tanto </w:t>
      </w:r>
      <w:r w:rsidR="00FB34E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</w:t>
      </w:r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el elemento internacional como </w:t>
      </w:r>
      <w:r w:rsidR="00FB34E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d</w:t>
      </w:r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el elemento heterogéneo</w:t>
      </w:r>
      <w:r w:rsidR="00FB34E0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>,</w:t>
      </w:r>
      <w:r w:rsidR="00972948" w:rsidRPr="002126F5">
        <w:rPr>
          <w:rFonts w:ascii="Goudy Old Style" w:eastAsia="Times New Roman" w:hAnsi="Goudy Old Style" w:cs="Times New Roman"/>
          <w:sz w:val="24"/>
          <w:szCs w:val="24"/>
          <w:lang w:eastAsia="es-ES"/>
        </w:rPr>
        <w:t xml:space="preserve"> que supone la vecindad civil.</w:t>
      </w:r>
    </w:p>
    <w:sectPr w:rsidR="00910EA1" w:rsidRPr="002126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Arial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EE9"/>
    <w:rsid w:val="00003574"/>
    <w:rsid w:val="000274F5"/>
    <w:rsid w:val="000277E3"/>
    <w:rsid w:val="00070D64"/>
    <w:rsid w:val="000C0F2D"/>
    <w:rsid w:val="000D1E87"/>
    <w:rsid w:val="000E15CB"/>
    <w:rsid w:val="000E64D7"/>
    <w:rsid w:val="00105A27"/>
    <w:rsid w:val="0011506A"/>
    <w:rsid w:val="00194465"/>
    <w:rsid w:val="001A2144"/>
    <w:rsid w:val="001C2A20"/>
    <w:rsid w:val="001E5B7A"/>
    <w:rsid w:val="001F57FB"/>
    <w:rsid w:val="002126F5"/>
    <w:rsid w:val="00291633"/>
    <w:rsid w:val="002924E6"/>
    <w:rsid w:val="002A6543"/>
    <w:rsid w:val="002B31AF"/>
    <w:rsid w:val="002E3518"/>
    <w:rsid w:val="002F7EFE"/>
    <w:rsid w:val="003147A9"/>
    <w:rsid w:val="00322F2D"/>
    <w:rsid w:val="00336EE9"/>
    <w:rsid w:val="0037697F"/>
    <w:rsid w:val="00386116"/>
    <w:rsid w:val="003B0A45"/>
    <w:rsid w:val="003C0349"/>
    <w:rsid w:val="003D743B"/>
    <w:rsid w:val="0044127B"/>
    <w:rsid w:val="00443CD9"/>
    <w:rsid w:val="00452A64"/>
    <w:rsid w:val="0045553E"/>
    <w:rsid w:val="0049597C"/>
    <w:rsid w:val="00512DE7"/>
    <w:rsid w:val="00517385"/>
    <w:rsid w:val="0053622D"/>
    <w:rsid w:val="00543064"/>
    <w:rsid w:val="005461E2"/>
    <w:rsid w:val="00550761"/>
    <w:rsid w:val="00556D6C"/>
    <w:rsid w:val="005B6CBB"/>
    <w:rsid w:val="005D5770"/>
    <w:rsid w:val="00606CDE"/>
    <w:rsid w:val="00623C0C"/>
    <w:rsid w:val="00677640"/>
    <w:rsid w:val="006B10E3"/>
    <w:rsid w:val="006E63DD"/>
    <w:rsid w:val="007073AF"/>
    <w:rsid w:val="00725A47"/>
    <w:rsid w:val="007336B4"/>
    <w:rsid w:val="0074019D"/>
    <w:rsid w:val="0077226F"/>
    <w:rsid w:val="008029BF"/>
    <w:rsid w:val="00812F7D"/>
    <w:rsid w:val="00834800"/>
    <w:rsid w:val="00855C2C"/>
    <w:rsid w:val="00871742"/>
    <w:rsid w:val="00876F87"/>
    <w:rsid w:val="00897B76"/>
    <w:rsid w:val="008B1DBF"/>
    <w:rsid w:val="008E2C49"/>
    <w:rsid w:val="00910EA1"/>
    <w:rsid w:val="00972948"/>
    <w:rsid w:val="00991656"/>
    <w:rsid w:val="009E37C4"/>
    <w:rsid w:val="009E60EA"/>
    <w:rsid w:val="00A209BA"/>
    <w:rsid w:val="00A54599"/>
    <w:rsid w:val="00AC0EAC"/>
    <w:rsid w:val="00AC6406"/>
    <w:rsid w:val="00AE33B6"/>
    <w:rsid w:val="00B03890"/>
    <w:rsid w:val="00B354C4"/>
    <w:rsid w:val="00B56194"/>
    <w:rsid w:val="00B76FC9"/>
    <w:rsid w:val="00B80348"/>
    <w:rsid w:val="00BB3B9A"/>
    <w:rsid w:val="00BD019C"/>
    <w:rsid w:val="00BD6707"/>
    <w:rsid w:val="00C17AAA"/>
    <w:rsid w:val="00C21BC9"/>
    <w:rsid w:val="00C750B6"/>
    <w:rsid w:val="00CC18CB"/>
    <w:rsid w:val="00CD1710"/>
    <w:rsid w:val="00CD376A"/>
    <w:rsid w:val="00CF5E2C"/>
    <w:rsid w:val="00D50785"/>
    <w:rsid w:val="00E81869"/>
    <w:rsid w:val="00E96B20"/>
    <w:rsid w:val="00EB3B86"/>
    <w:rsid w:val="00ED6F7C"/>
    <w:rsid w:val="00EE23D8"/>
    <w:rsid w:val="00F159B9"/>
    <w:rsid w:val="00F17147"/>
    <w:rsid w:val="00F22271"/>
    <w:rsid w:val="00F42889"/>
    <w:rsid w:val="00F70EEF"/>
    <w:rsid w:val="00F81A2A"/>
    <w:rsid w:val="00F8211A"/>
    <w:rsid w:val="00FA154B"/>
    <w:rsid w:val="00FB34E0"/>
    <w:rsid w:val="00FB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3DD07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36EE9"/>
    <w:rPr>
      <w:color w:val="0000FF"/>
      <w:u w:val="single"/>
    </w:rPr>
  </w:style>
  <w:style w:type="character" w:customStyle="1" w:styleId="author">
    <w:name w:val="author"/>
    <w:basedOn w:val="Fuentedeprrafopredeter"/>
    <w:rsid w:val="00336EE9"/>
  </w:style>
  <w:style w:type="character" w:customStyle="1" w:styleId="publisher-date">
    <w:name w:val="publisher-date"/>
    <w:basedOn w:val="Fuentedeprrafopredeter"/>
    <w:rsid w:val="00336EE9"/>
  </w:style>
  <w:style w:type="character" w:customStyle="1" w:styleId="Fecha1">
    <w:name w:val="Fecha1"/>
    <w:basedOn w:val="Fuentedeprrafopredeter"/>
    <w:rsid w:val="00336EE9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36EE9"/>
    <w:rPr>
      <w:color w:val="0000FF"/>
      <w:u w:val="single"/>
    </w:rPr>
  </w:style>
  <w:style w:type="character" w:customStyle="1" w:styleId="author">
    <w:name w:val="author"/>
    <w:basedOn w:val="Fuentedeprrafopredeter"/>
    <w:rsid w:val="00336EE9"/>
  </w:style>
  <w:style w:type="character" w:customStyle="1" w:styleId="publisher-date">
    <w:name w:val="publisher-date"/>
    <w:basedOn w:val="Fuentedeprrafopredeter"/>
    <w:rsid w:val="00336EE9"/>
  </w:style>
  <w:style w:type="character" w:customStyle="1" w:styleId="Fecha1">
    <w:name w:val="Fecha1"/>
    <w:basedOn w:val="Fuentedeprrafopredeter"/>
    <w:rsid w:val="00336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8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mjsanchez@usj.es" TargetMode="External"/><Relationship Id="rId6" Type="http://schemas.openxmlformats.org/officeDocument/2006/relationships/hyperlink" Target="mailto:rominaviviana.santillan@ui1.es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2687</Characters>
  <Application>Microsoft Macintosh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 CG</dc:creator>
  <cp:keywords/>
  <dc:description/>
  <cp:lastModifiedBy>user1</cp:lastModifiedBy>
  <cp:revision>2</cp:revision>
  <dcterms:created xsi:type="dcterms:W3CDTF">2021-02-26T09:19:00Z</dcterms:created>
  <dcterms:modified xsi:type="dcterms:W3CDTF">2021-02-26T09:19:00Z</dcterms:modified>
</cp:coreProperties>
</file>